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8E" w:rsidRPr="002B5065" w:rsidRDefault="00442E8E" w:rsidP="00442E8E">
      <w:pPr>
        <w:spacing w:after="240" w:line="240" w:lineRule="auto"/>
        <w:jc w:val="center"/>
        <w:rPr>
          <w:rFonts w:eastAsia="Times New Roman" w:cs="Times New Roman"/>
          <w:b/>
          <w:bCs/>
          <w:szCs w:val="24"/>
        </w:rPr>
      </w:pPr>
      <w:r w:rsidRPr="002B5065">
        <w:rPr>
          <w:rFonts w:eastAsia="Times New Roman" w:cs="Times New Roman"/>
          <w:b/>
          <w:bCs/>
          <w:szCs w:val="24"/>
        </w:rPr>
        <w:t>ICC PLUMBING CODE 2012</w:t>
      </w:r>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b/>
          <w:bCs/>
          <w:szCs w:val="24"/>
        </w:rPr>
        <w:t xml:space="preserve">Introduction </w:t>
      </w:r>
      <w:r w:rsidRPr="002B5065">
        <w:rPr>
          <w:rFonts w:eastAsia="Times New Roman" w:cs="Times New Roman"/>
          <w:szCs w:val="24"/>
        </w:rPr>
        <w:br/>
      </w:r>
      <w:r w:rsidRPr="002B5065">
        <w:rPr>
          <w:rFonts w:eastAsia="Times New Roman" w:cs="Times New Roman"/>
          <w:szCs w:val="24"/>
        </w:rPr>
        <w:br/>
        <w:t xml:space="preserve">Internationally, code officials recognize the need for a modern, up-to-date plumbing code addressing the design and installation of plumbing systems through requirements emphasizing performance. The </w:t>
      </w:r>
      <w:r w:rsidRPr="002B5065">
        <w:rPr>
          <w:rFonts w:eastAsia="Times New Roman" w:cs="Times New Roman"/>
          <w:i/>
          <w:iCs/>
          <w:szCs w:val="24"/>
        </w:rPr>
        <w:t>International Plumbing Code</w:t>
      </w:r>
      <w:r w:rsidRPr="002B5065">
        <w:rPr>
          <w:rFonts w:eastAsia="Times New Roman" w:cs="Times New Roman"/>
          <w:szCs w:val="24"/>
          <w:vertAlign w:val="superscript"/>
        </w:rPr>
        <w:t>®</w:t>
      </w:r>
      <w:r w:rsidRPr="002B5065">
        <w:rPr>
          <w:rFonts w:eastAsia="Times New Roman" w:cs="Times New Roman"/>
          <w:szCs w:val="24"/>
        </w:rPr>
        <w:t xml:space="preserve">, in this 2012 edition, </w:t>
      </w:r>
      <w:proofErr w:type="gramStart"/>
      <w:r w:rsidRPr="002B5065">
        <w:rPr>
          <w:rFonts w:eastAsia="Times New Roman" w:cs="Times New Roman"/>
          <w:szCs w:val="24"/>
        </w:rPr>
        <w:t>is designed</w:t>
      </w:r>
      <w:proofErr w:type="gramEnd"/>
      <w:r w:rsidRPr="002B5065">
        <w:rPr>
          <w:rFonts w:eastAsia="Times New Roman" w:cs="Times New Roman"/>
          <w:szCs w:val="24"/>
        </w:rPr>
        <w:t xml:space="preserve"> to meet these needs through model code regulations that safeguard the public health and safety in all communities, large and small. </w:t>
      </w:r>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szCs w:val="24"/>
        </w:rPr>
        <w:t xml:space="preserve">This comprehensive plumbing code establishes minimum regulations for plumbing systems using prescriptive and performance-related provisions. It </w:t>
      </w:r>
      <w:proofErr w:type="gramStart"/>
      <w:r w:rsidRPr="002B5065">
        <w:rPr>
          <w:rFonts w:eastAsia="Times New Roman" w:cs="Times New Roman"/>
          <w:szCs w:val="24"/>
        </w:rPr>
        <w:t>is founded</w:t>
      </w:r>
      <w:proofErr w:type="gramEnd"/>
      <w:r w:rsidRPr="002B5065">
        <w:rPr>
          <w:rFonts w:eastAsia="Times New Roman" w:cs="Times New Roman"/>
          <w:szCs w:val="24"/>
        </w:rPr>
        <w:t xml:space="preserve"> on broad-based principles that make possible the use of new materials and new plumbing designs. </w:t>
      </w:r>
      <w:proofErr w:type="gramStart"/>
      <w:r w:rsidRPr="002B5065">
        <w:rPr>
          <w:rFonts w:eastAsia="Times New Roman" w:cs="Times New Roman"/>
          <w:szCs w:val="24"/>
        </w:rPr>
        <w:t xml:space="preserve">This 2012 edition is fully compatible with all of the </w:t>
      </w:r>
      <w:r w:rsidRPr="002B5065">
        <w:rPr>
          <w:rFonts w:eastAsia="Times New Roman" w:cs="Times New Roman"/>
          <w:i/>
          <w:iCs/>
          <w:szCs w:val="24"/>
        </w:rPr>
        <w:t>International Codes</w:t>
      </w:r>
      <w:r w:rsidRPr="002B5065">
        <w:rPr>
          <w:rFonts w:eastAsia="Times New Roman" w:cs="Times New Roman"/>
          <w:szCs w:val="24"/>
          <w:vertAlign w:val="superscript"/>
        </w:rPr>
        <w:t xml:space="preserve">® </w:t>
      </w:r>
      <w:r w:rsidRPr="002B5065">
        <w:rPr>
          <w:rFonts w:eastAsia="Times New Roman" w:cs="Times New Roman"/>
          <w:szCs w:val="24"/>
        </w:rPr>
        <w:t>(I-Codes</w:t>
      </w:r>
      <w:r w:rsidRPr="002B5065">
        <w:rPr>
          <w:rFonts w:eastAsia="Times New Roman" w:cs="Times New Roman"/>
          <w:szCs w:val="24"/>
          <w:vertAlign w:val="superscript"/>
        </w:rPr>
        <w:t>®</w:t>
      </w:r>
      <w:r w:rsidRPr="002B5065">
        <w:rPr>
          <w:rFonts w:eastAsia="Times New Roman" w:cs="Times New Roman"/>
          <w:szCs w:val="24"/>
        </w:rPr>
        <w:t>) published by the International Code Council (ICC)</w:t>
      </w:r>
      <w:r w:rsidRPr="002B5065">
        <w:rPr>
          <w:rFonts w:eastAsia="Times New Roman" w:cs="Times New Roman"/>
          <w:szCs w:val="24"/>
          <w:vertAlign w:val="superscript"/>
        </w:rPr>
        <w:t>®</w:t>
      </w:r>
      <w:r w:rsidRPr="002B5065">
        <w:rPr>
          <w:rFonts w:eastAsia="Times New Roman" w:cs="Times New Roman"/>
          <w:szCs w:val="24"/>
        </w:rPr>
        <w:t xml:space="preserve">, including the </w:t>
      </w:r>
      <w:r w:rsidRPr="002B5065">
        <w:rPr>
          <w:rFonts w:eastAsia="Times New Roman" w:cs="Times New Roman"/>
          <w:i/>
          <w:iCs/>
          <w:szCs w:val="24"/>
        </w:rPr>
        <w:t>International Building Code</w:t>
      </w:r>
      <w:r w:rsidRPr="002B5065">
        <w:rPr>
          <w:rFonts w:eastAsia="Times New Roman" w:cs="Times New Roman"/>
          <w:szCs w:val="24"/>
          <w:vertAlign w:val="superscript"/>
        </w:rPr>
        <w:t>®</w:t>
      </w:r>
      <w:r w:rsidRPr="002B5065">
        <w:rPr>
          <w:rFonts w:eastAsia="Times New Roman" w:cs="Times New Roman"/>
          <w:szCs w:val="24"/>
        </w:rPr>
        <w:t xml:space="preserve">, </w:t>
      </w:r>
      <w:r w:rsidRPr="002B5065">
        <w:rPr>
          <w:rFonts w:eastAsia="Times New Roman" w:cs="Times New Roman"/>
          <w:i/>
          <w:iCs/>
          <w:szCs w:val="24"/>
        </w:rPr>
        <w:t>International Energy Conservation Code</w:t>
      </w:r>
      <w:r w:rsidRPr="002B5065">
        <w:rPr>
          <w:rFonts w:eastAsia="Times New Roman" w:cs="Times New Roman"/>
          <w:szCs w:val="24"/>
          <w:vertAlign w:val="superscript"/>
        </w:rPr>
        <w:t>®</w:t>
      </w:r>
      <w:r w:rsidRPr="002B5065">
        <w:rPr>
          <w:rFonts w:eastAsia="Times New Roman" w:cs="Times New Roman"/>
          <w:szCs w:val="24"/>
        </w:rPr>
        <w:t xml:space="preserve">, </w:t>
      </w:r>
      <w:r w:rsidRPr="002B5065">
        <w:rPr>
          <w:rFonts w:eastAsia="Times New Roman" w:cs="Times New Roman"/>
          <w:i/>
          <w:iCs/>
          <w:szCs w:val="24"/>
        </w:rPr>
        <w:t>International Existing Building Code</w:t>
      </w:r>
      <w:r w:rsidRPr="002B5065">
        <w:rPr>
          <w:rFonts w:eastAsia="Times New Roman" w:cs="Times New Roman"/>
          <w:szCs w:val="24"/>
          <w:vertAlign w:val="superscript"/>
        </w:rPr>
        <w:t>®</w:t>
      </w:r>
      <w:r w:rsidRPr="002B5065">
        <w:rPr>
          <w:rFonts w:eastAsia="Times New Roman" w:cs="Times New Roman"/>
          <w:szCs w:val="24"/>
        </w:rPr>
        <w:t xml:space="preserve">, </w:t>
      </w:r>
      <w:r w:rsidRPr="002B5065">
        <w:rPr>
          <w:rFonts w:eastAsia="Times New Roman" w:cs="Times New Roman"/>
          <w:i/>
          <w:iCs/>
          <w:szCs w:val="24"/>
        </w:rPr>
        <w:t>International Fire Code</w:t>
      </w:r>
      <w:r w:rsidRPr="002B5065">
        <w:rPr>
          <w:rFonts w:eastAsia="Times New Roman" w:cs="Times New Roman"/>
          <w:szCs w:val="24"/>
          <w:vertAlign w:val="superscript"/>
        </w:rPr>
        <w:t>®</w:t>
      </w:r>
      <w:r w:rsidRPr="002B5065">
        <w:rPr>
          <w:rFonts w:eastAsia="Times New Roman" w:cs="Times New Roman"/>
          <w:szCs w:val="24"/>
        </w:rPr>
        <w:t xml:space="preserve">, </w:t>
      </w:r>
      <w:r w:rsidRPr="002B5065">
        <w:rPr>
          <w:rFonts w:eastAsia="Times New Roman" w:cs="Times New Roman"/>
          <w:i/>
          <w:iCs/>
          <w:szCs w:val="24"/>
        </w:rPr>
        <w:t>International Fuel Gas Code</w:t>
      </w:r>
      <w:r w:rsidRPr="002B5065">
        <w:rPr>
          <w:rFonts w:eastAsia="Times New Roman" w:cs="Times New Roman"/>
          <w:szCs w:val="24"/>
          <w:vertAlign w:val="superscript"/>
        </w:rPr>
        <w:t>®</w:t>
      </w:r>
      <w:r w:rsidRPr="002B5065">
        <w:rPr>
          <w:rFonts w:eastAsia="Times New Roman" w:cs="Times New Roman"/>
          <w:szCs w:val="24"/>
        </w:rPr>
        <w:t xml:space="preserve">, </w:t>
      </w:r>
      <w:r w:rsidRPr="002B5065">
        <w:rPr>
          <w:rFonts w:eastAsia="Times New Roman" w:cs="Times New Roman"/>
          <w:i/>
          <w:iCs/>
          <w:szCs w:val="24"/>
        </w:rPr>
        <w:t>International Green Construction Code</w:t>
      </w:r>
      <w:r w:rsidRPr="002B5065">
        <w:rPr>
          <w:rFonts w:eastAsia="Times New Roman" w:cs="Times New Roman"/>
          <w:szCs w:val="24"/>
        </w:rPr>
        <w:t xml:space="preserve">™ (to be available March 2012), </w:t>
      </w:r>
      <w:r w:rsidRPr="002B5065">
        <w:rPr>
          <w:rFonts w:eastAsia="Times New Roman" w:cs="Times New Roman"/>
          <w:i/>
          <w:iCs/>
          <w:szCs w:val="24"/>
        </w:rPr>
        <w:t>International Mechanical Code</w:t>
      </w:r>
      <w:r w:rsidRPr="002B5065">
        <w:rPr>
          <w:rFonts w:eastAsia="Times New Roman" w:cs="Times New Roman"/>
          <w:szCs w:val="24"/>
          <w:vertAlign w:val="superscript"/>
        </w:rPr>
        <w:t>®</w:t>
      </w:r>
      <w:r w:rsidRPr="002B5065">
        <w:rPr>
          <w:rFonts w:eastAsia="Times New Roman" w:cs="Times New Roman"/>
          <w:szCs w:val="24"/>
        </w:rPr>
        <w:t xml:space="preserve">, ICC </w:t>
      </w:r>
      <w:r w:rsidRPr="002B5065">
        <w:rPr>
          <w:rFonts w:eastAsia="Times New Roman" w:cs="Times New Roman"/>
          <w:i/>
          <w:iCs/>
          <w:szCs w:val="24"/>
        </w:rPr>
        <w:t>Performance Code</w:t>
      </w:r>
      <w:r w:rsidRPr="002B5065">
        <w:rPr>
          <w:rFonts w:eastAsia="Times New Roman" w:cs="Times New Roman"/>
          <w:szCs w:val="24"/>
          <w:vertAlign w:val="superscript"/>
        </w:rPr>
        <w:t>®</w:t>
      </w:r>
      <w:r w:rsidRPr="002B5065">
        <w:rPr>
          <w:rFonts w:eastAsia="Times New Roman" w:cs="Times New Roman"/>
          <w:szCs w:val="24"/>
        </w:rPr>
        <w:t xml:space="preserve">, </w:t>
      </w:r>
      <w:r w:rsidRPr="002B5065">
        <w:rPr>
          <w:rFonts w:eastAsia="Times New Roman" w:cs="Times New Roman"/>
          <w:i/>
          <w:iCs/>
          <w:szCs w:val="24"/>
        </w:rPr>
        <w:t>International Private Sewage Disposal Code</w:t>
      </w:r>
      <w:r w:rsidRPr="002B5065">
        <w:rPr>
          <w:rFonts w:eastAsia="Times New Roman" w:cs="Times New Roman"/>
          <w:szCs w:val="24"/>
          <w:vertAlign w:val="superscript"/>
        </w:rPr>
        <w:t>®</w:t>
      </w:r>
      <w:r w:rsidRPr="002B5065">
        <w:rPr>
          <w:rFonts w:eastAsia="Times New Roman" w:cs="Times New Roman"/>
          <w:szCs w:val="24"/>
        </w:rPr>
        <w:t xml:space="preserve">, </w:t>
      </w:r>
      <w:r w:rsidRPr="002B5065">
        <w:rPr>
          <w:rFonts w:eastAsia="Times New Roman" w:cs="Times New Roman"/>
          <w:i/>
          <w:iCs/>
          <w:szCs w:val="24"/>
        </w:rPr>
        <w:t>International Property Maintenance Code</w:t>
      </w:r>
      <w:r w:rsidRPr="002B5065">
        <w:rPr>
          <w:rFonts w:eastAsia="Times New Roman" w:cs="Times New Roman"/>
          <w:szCs w:val="24"/>
          <w:vertAlign w:val="superscript"/>
        </w:rPr>
        <w:t>®</w:t>
      </w:r>
      <w:r w:rsidRPr="002B5065">
        <w:rPr>
          <w:rFonts w:eastAsia="Times New Roman" w:cs="Times New Roman"/>
          <w:szCs w:val="24"/>
        </w:rPr>
        <w:t xml:space="preserve">, </w:t>
      </w:r>
      <w:r w:rsidRPr="002B5065">
        <w:rPr>
          <w:rFonts w:eastAsia="Times New Roman" w:cs="Times New Roman"/>
          <w:i/>
          <w:iCs/>
          <w:szCs w:val="24"/>
        </w:rPr>
        <w:t>International Residential Code</w:t>
      </w:r>
      <w:r w:rsidRPr="002B5065">
        <w:rPr>
          <w:rFonts w:eastAsia="Times New Roman" w:cs="Times New Roman"/>
          <w:szCs w:val="24"/>
          <w:vertAlign w:val="superscript"/>
        </w:rPr>
        <w:t>®</w:t>
      </w:r>
      <w:r w:rsidRPr="002B5065">
        <w:rPr>
          <w:rFonts w:eastAsia="Times New Roman" w:cs="Times New Roman"/>
          <w:szCs w:val="24"/>
        </w:rPr>
        <w:t xml:space="preserve">, </w:t>
      </w:r>
      <w:r w:rsidRPr="002B5065">
        <w:rPr>
          <w:rFonts w:eastAsia="Times New Roman" w:cs="Times New Roman"/>
          <w:i/>
          <w:iCs/>
          <w:szCs w:val="24"/>
        </w:rPr>
        <w:t>International Swimming Pool and Spa Code</w:t>
      </w:r>
      <w:r w:rsidRPr="002B5065">
        <w:rPr>
          <w:rFonts w:eastAsia="Times New Roman" w:cs="Times New Roman"/>
          <w:szCs w:val="24"/>
        </w:rPr>
        <w:t xml:space="preserve">™ (to be available March 2012), </w:t>
      </w:r>
      <w:r w:rsidRPr="002B5065">
        <w:rPr>
          <w:rFonts w:eastAsia="Times New Roman" w:cs="Times New Roman"/>
          <w:i/>
          <w:iCs/>
          <w:szCs w:val="24"/>
        </w:rPr>
        <w:t xml:space="preserve">International </w:t>
      </w:r>
      <w:proofErr w:type="spellStart"/>
      <w:r w:rsidRPr="002B5065">
        <w:rPr>
          <w:rFonts w:eastAsia="Times New Roman" w:cs="Times New Roman"/>
          <w:i/>
          <w:iCs/>
          <w:szCs w:val="24"/>
        </w:rPr>
        <w:t>Wildland</w:t>
      </w:r>
      <w:proofErr w:type="spellEnd"/>
      <w:r w:rsidRPr="002B5065">
        <w:rPr>
          <w:rFonts w:eastAsia="Times New Roman" w:cs="Times New Roman"/>
          <w:i/>
          <w:iCs/>
          <w:szCs w:val="24"/>
        </w:rPr>
        <w:t>-Urban Interface Code</w:t>
      </w:r>
      <w:r w:rsidRPr="002B5065">
        <w:rPr>
          <w:rFonts w:eastAsia="Times New Roman" w:cs="Times New Roman"/>
          <w:szCs w:val="24"/>
          <w:vertAlign w:val="superscript"/>
        </w:rPr>
        <w:t xml:space="preserve">® </w:t>
      </w:r>
      <w:r w:rsidRPr="002B5065">
        <w:rPr>
          <w:rFonts w:eastAsia="Times New Roman" w:cs="Times New Roman"/>
          <w:szCs w:val="24"/>
        </w:rPr>
        <w:t xml:space="preserve">and </w:t>
      </w:r>
      <w:r w:rsidRPr="002B5065">
        <w:rPr>
          <w:rFonts w:eastAsia="Times New Roman" w:cs="Times New Roman"/>
          <w:i/>
          <w:iCs/>
          <w:szCs w:val="24"/>
        </w:rPr>
        <w:t>International Zoning Code</w:t>
      </w:r>
      <w:r w:rsidRPr="002B5065">
        <w:rPr>
          <w:rFonts w:eastAsia="Times New Roman" w:cs="Times New Roman"/>
          <w:szCs w:val="24"/>
          <w:vertAlign w:val="superscript"/>
        </w:rPr>
        <w:t>®</w:t>
      </w:r>
      <w:r w:rsidRPr="002B5065">
        <w:rPr>
          <w:rFonts w:eastAsia="Times New Roman" w:cs="Times New Roman"/>
          <w:szCs w:val="24"/>
        </w:rPr>
        <w:t>.</w:t>
      </w:r>
      <w:proofErr w:type="gramEnd"/>
      <w:r w:rsidRPr="002B5065">
        <w:rPr>
          <w:rFonts w:eastAsia="Times New Roman" w:cs="Times New Roman"/>
          <w:szCs w:val="24"/>
        </w:rPr>
        <w:t xml:space="preserve"> </w:t>
      </w:r>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szCs w:val="24"/>
        </w:rPr>
        <w:t xml:space="preserve">The </w:t>
      </w:r>
      <w:r w:rsidRPr="002B5065">
        <w:rPr>
          <w:rFonts w:eastAsia="Times New Roman" w:cs="Times New Roman"/>
          <w:i/>
          <w:iCs/>
          <w:szCs w:val="24"/>
        </w:rPr>
        <w:t xml:space="preserve">International Plumbing Code </w:t>
      </w:r>
      <w:r w:rsidRPr="002B5065">
        <w:rPr>
          <w:rFonts w:eastAsia="Times New Roman" w:cs="Times New Roman"/>
          <w:szCs w:val="24"/>
        </w:rPr>
        <w:t xml:space="preserve">provisions provide many benefits, among which is the </w:t>
      </w:r>
      <w:proofErr w:type="gramStart"/>
      <w:r w:rsidRPr="002B5065">
        <w:rPr>
          <w:rFonts w:eastAsia="Times New Roman" w:cs="Times New Roman"/>
          <w:szCs w:val="24"/>
        </w:rPr>
        <w:t>model code development process</w:t>
      </w:r>
      <w:proofErr w:type="gramEnd"/>
      <w:r w:rsidRPr="002B5065">
        <w:rPr>
          <w:rFonts w:eastAsia="Times New Roman" w:cs="Times New Roman"/>
          <w:szCs w:val="24"/>
        </w:rPr>
        <w:t xml:space="preserve"> that offers an international forum for plumbing professionals to discuss performance and prescriptive code requirements. This forum provides an excellent arena to debate proposed revisions. This model code also encourages international consistency in the application of provisions. </w:t>
      </w:r>
    </w:p>
    <w:p w:rsidR="00442E8E" w:rsidRPr="002B5065" w:rsidRDefault="00442E8E" w:rsidP="00442E8E">
      <w:pPr>
        <w:spacing w:after="240" w:line="240" w:lineRule="auto"/>
        <w:jc w:val="both"/>
        <w:rPr>
          <w:rFonts w:eastAsia="Times New Roman" w:cs="Times New Roman"/>
          <w:szCs w:val="24"/>
        </w:rPr>
      </w:pPr>
      <w:proofErr w:type="gramStart"/>
      <w:r w:rsidRPr="002B5065">
        <w:rPr>
          <w:rFonts w:eastAsia="Times New Roman" w:cs="Times New Roman"/>
          <w:b/>
          <w:bCs/>
          <w:szCs w:val="24"/>
        </w:rPr>
        <w:t xml:space="preserve">Development </w:t>
      </w:r>
      <w:r w:rsidRPr="002B5065">
        <w:rPr>
          <w:rFonts w:eastAsia="Times New Roman" w:cs="Times New Roman"/>
          <w:szCs w:val="24"/>
        </w:rPr>
        <w:br/>
      </w:r>
      <w:r w:rsidRPr="002B5065">
        <w:rPr>
          <w:rFonts w:eastAsia="Times New Roman" w:cs="Times New Roman"/>
          <w:szCs w:val="24"/>
        </w:rPr>
        <w:br/>
        <w:t xml:space="preserve">The first edition of the </w:t>
      </w:r>
      <w:r w:rsidRPr="002B5065">
        <w:rPr>
          <w:rFonts w:eastAsia="Times New Roman" w:cs="Times New Roman"/>
          <w:i/>
          <w:iCs/>
          <w:szCs w:val="24"/>
        </w:rPr>
        <w:t xml:space="preserve">International Plumbing Code </w:t>
      </w:r>
      <w:r w:rsidRPr="002B5065">
        <w:rPr>
          <w:rFonts w:eastAsia="Times New Roman" w:cs="Times New Roman"/>
          <w:szCs w:val="24"/>
        </w:rPr>
        <w:t>(1995) was the culmination of an effort initiated in 1994 by a development committee appointed by the ICC and consisting of representatives of the three statutory members of the International Code Council at that time, including: Building Officials and Code Administrators International, Inc. (BOCA), International Conference of Building Officials (</w:t>
      </w:r>
      <w:proofErr w:type="spellStart"/>
      <w:r w:rsidRPr="002B5065">
        <w:rPr>
          <w:rFonts w:eastAsia="Times New Roman" w:cs="Times New Roman"/>
          <w:szCs w:val="24"/>
        </w:rPr>
        <w:t>ICBO</w:t>
      </w:r>
      <w:proofErr w:type="spellEnd"/>
      <w:r w:rsidRPr="002B5065">
        <w:rPr>
          <w:rFonts w:eastAsia="Times New Roman" w:cs="Times New Roman"/>
          <w:szCs w:val="24"/>
        </w:rPr>
        <w:t>) and Southern Building Code Congress International (</w:t>
      </w:r>
      <w:proofErr w:type="spellStart"/>
      <w:r w:rsidRPr="002B5065">
        <w:rPr>
          <w:rFonts w:eastAsia="Times New Roman" w:cs="Times New Roman"/>
          <w:szCs w:val="24"/>
        </w:rPr>
        <w:t>SBCCI</w:t>
      </w:r>
      <w:proofErr w:type="spellEnd"/>
      <w:r w:rsidRPr="002B5065">
        <w:rPr>
          <w:rFonts w:eastAsia="Times New Roman" w:cs="Times New Roman"/>
          <w:szCs w:val="24"/>
        </w:rPr>
        <w:t>).</w:t>
      </w:r>
      <w:proofErr w:type="gramEnd"/>
      <w:r w:rsidRPr="002B5065">
        <w:rPr>
          <w:rFonts w:eastAsia="Times New Roman" w:cs="Times New Roman"/>
          <w:szCs w:val="24"/>
        </w:rPr>
        <w:t xml:space="preserve"> The intent was to draft a comprehensive set of regulations for plumbing systems consistent with and inclusive of the scope of the existing model codes. Technical content of the latest model codes promulgated by BOCA, </w:t>
      </w:r>
      <w:proofErr w:type="spellStart"/>
      <w:proofErr w:type="gramStart"/>
      <w:r w:rsidRPr="002B5065">
        <w:rPr>
          <w:rFonts w:eastAsia="Times New Roman" w:cs="Times New Roman"/>
          <w:szCs w:val="24"/>
        </w:rPr>
        <w:t>ICBO</w:t>
      </w:r>
      <w:proofErr w:type="spellEnd"/>
      <w:proofErr w:type="gramEnd"/>
      <w:r w:rsidRPr="002B5065">
        <w:rPr>
          <w:rFonts w:eastAsia="Times New Roman" w:cs="Times New Roman"/>
          <w:szCs w:val="24"/>
        </w:rPr>
        <w:t xml:space="preserve"> and </w:t>
      </w:r>
      <w:proofErr w:type="spellStart"/>
      <w:r w:rsidRPr="002B5065">
        <w:rPr>
          <w:rFonts w:eastAsia="Times New Roman" w:cs="Times New Roman"/>
          <w:szCs w:val="24"/>
        </w:rPr>
        <w:t>SBCCI</w:t>
      </w:r>
      <w:proofErr w:type="spellEnd"/>
      <w:r w:rsidRPr="002B5065">
        <w:rPr>
          <w:rFonts w:eastAsia="Times New Roman" w:cs="Times New Roman"/>
          <w:szCs w:val="24"/>
        </w:rPr>
        <w:t xml:space="preserve"> was utilized as the basis for the development. This 2012 edition presents the code as originally issued, with changes as reflected in the subsequent editions through 2009 and with changes approved through the ICC Code Development Process through 2010. A new edition such as this </w:t>
      </w:r>
      <w:proofErr w:type="gramStart"/>
      <w:r w:rsidRPr="002B5065">
        <w:rPr>
          <w:rFonts w:eastAsia="Times New Roman" w:cs="Times New Roman"/>
          <w:szCs w:val="24"/>
        </w:rPr>
        <w:t>is promulgated</w:t>
      </w:r>
      <w:proofErr w:type="gramEnd"/>
      <w:r w:rsidRPr="002B5065">
        <w:rPr>
          <w:rFonts w:eastAsia="Times New Roman" w:cs="Times New Roman"/>
          <w:szCs w:val="24"/>
        </w:rPr>
        <w:t xml:space="preserve"> every three years. </w:t>
      </w:r>
      <w:r w:rsidRPr="002B5065">
        <w:rPr>
          <w:rFonts w:eastAsia="Times New Roman" w:cs="Times New Roman"/>
          <w:szCs w:val="24"/>
        </w:rPr>
        <w:br/>
      </w:r>
      <w:r w:rsidRPr="002B5065">
        <w:rPr>
          <w:rFonts w:eastAsia="Times New Roman" w:cs="Times New Roman"/>
          <w:szCs w:val="24"/>
        </w:rPr>
        <w:br/>
      </w:r>
      <w:proofErr w:type="gramStart"/>
      <w:r w:rsidRPr="002B5065">
        <w:rPr>
          <w:rFonts w:eastAsia="Times New Roman" w:cs="Times New Roman"/>
          <w:szCs w:val="24"/>
        </w:rPr>
        <w:t xml:space="preserve">This code is founded on principles intended to establish provisions consistent with the scope of </w:t>
      </w:r>
      <w:r w:rsidRPr="002B5065">
        <w:rPr>
          <w:rFonts w:eastAsia="Times New Roman" w:cs="Times New Roman"/>
          <w:szCs w:val="24"/>
        </w:rPr>
        <w:lastRenderedPageBreak/>
        <w:t>a plumbing code that adequately protects public health, safety and welfare; provisions that do not unnecessarily increase construction costs; provisions that do not restrict the use of new materials, products or methods of construction; and provisions that do not give preferential treatment to particular types or classes of materials, products or methods of construction.</w:t>
      </w:r>
      <w:proofErr w:type="gramEnd"/>
      <w:r w:rsidRPr="002B5065">
        <w:rPr>
          <w:rFonts w:eastAsia="Times New Roman" w:cs="Times New Roman"/>
          <w:szCs w:val="24"/>
        </w:rPr>
        <w:t xml:space="preserve"> </w:t>
      </w:r>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b/>
          <w:bCs/>
          <w:szCs w:val="24"/>
        </w:rPr>
        <w:t xml:space="preserve">Adoption </w:t>
      </w:r>
      <w:r w:rsidRPr="002B5065">
        <w:rPr>
          <w:rFonts w:eastAsia="Times New Roman" w:cs="Times New Roman"/>
          <w:szCs w:val="24"/>
        </w:rPr>
        <w:br/>
      </w:r>
      <w:r w:rsidRPr="002B5065">
        <w:rPr>
          <w:rFonts w:eastAsia="Times New Roman" w:cs="Times New Roman"/>
          <w:szCs w:val="24"/>
        </w:rPr>
        <w:br/>
        <w:t xml:space="preserve">The </w:t>
      </w:r>
      <w:r w:rsidRPr="002B5065">
        <w:rPr>
          <w:rFonts w:eastAsia="Times New Roman" w:cs="Times New Roman"/>
          <w:i/>
          <w:iCs/>
          <w:szCs w:val="24"/>
        </w:rPr>
        <w:t xml:space="preserve">International Plumbing Code </w:t>
      </w:r>
      <w:r w:rsidRPr="002B5065">
        <w:rPr>
          <w:rFonts w:eastAsia="Times New Roman" w:cs="Times New Roman"/>
          <w:szCs w:val="24"/>
        </w:rPr>
        <w:t xml:space="preserve">is available for adoption and use by jurisdictions internationally. Its use within a governmental jurisdiction </w:t>
      </w:r>
      <w:proofErr w:type="gramStart"/>
      <w:r w:rsidRPr="002B5065">
        <w:rPr>
          <w:rFonts w:eastAsia="Times New Roman" w:cs="Times New Roman"/>
          <w:szCs w:val="24"/>
        </w:rPr>
        <w:t>is intended to be accomplished</w:t>
      </w:r>
      <w:proofErr w:type="gramEnd"/>
      <w:r w:rsidRPr="002B5065">
        <w:rPr>
          <w:rFonts w:eastAsia="Times New Roman" w:cs="Times New Roman"/>
          <w:szCs w:val="24"/>
        </w:rPr>
        <w:t xml:space="preserve"> through adoption by reference in accordance with proceedings establishing the jurisdiction’s laws. At the time of adoption, jurisdictions should insert the appropriate information in provisions requiring specific local information, such as the name of the adopting jurisdiction. These locations </w:t>
      </w:r>
      <w:proofErr w:type="gramStart"/>
      <w:r w:rsidRPr="002B5065">
        <w:rPr>
          <w:rFonts w:eastAsia="Times New Roman" w:cs="Times New Roman"/>
          <w:szCs w:val="24"/>
        </w:rPr>
        <w:t>are shown</w:t>
      </w:r>
      <w:proofErr w:type="gramEnd"/>
      <w:r w:rsidRPr="002B5065">
        <w:rPr>
          <w:rFonts w:eastAsia="Times New Roman" w:cs="Times New Roman"/>
          <w:szCs w:val="24"/>
        </w:rPr>
        <w:t xml:space="preserve"> in bracketed words in small capital letters in the code and in the sample ordinance. The sample adoption ordinance on page xi addresses several key elements of a code adoption ordinance, including the information required for insertion into the code text. </w:t>
      </w:r>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b/>
          <w:bCs/>
          <w:szCs w:val="24"/>
        </w:rPr>
        <w:t xml:space="preserve">Maintenance </w:t>
      </w:r>
      <w:r w:rsidRPr="002B5065">
        <w:rPr>
          <w:rFonts w:eastAsia="Times New Roman" w:cs="Times New Roman"/>
          <w:szCs w:val="24"/>
        </w:rPr>
        <w:br/>
      </w:r>
      <w:r w:rsidRPr="002B5065">
        <w:rPr>
          <w:rFonts w:eastAsia="Times New Roman" w:cs="Times New Roman"/>
          <w:szCs w:val="24"/>
        </w:rPr>
        <w:br/>
        <w:t xml:space="preserve">The </w:t>
      </w:r>
      <w:r w:rsidRPr="002B5065">
        <w:rPr>
          <w:rFonts w:eastAsia="Times New Roman" w:cs="Times New Roman"/>
          <w:i/>
          <w:iCs/>
          <w:szCs w:val="24"/>
        </w:rPr>
        <w:t xml:space="preserve">International Plumbing Code </w:t>
      </w:r>
      <w:r w:rsidRPr="002B5065">
        <w:rPr>
          <w:rFonts w:eastAsia="Times New Roman" w:cs="Times New Roman"/>
          <w:szCs w:val="24"/>
        </w:rPr>
        <w:t xml:space="preserve">is kept up to date through the review of proposed changes submitted by code enforcing officials, industry representatives, design </w:t>
      </w:r>
      <w:proofErr w:type="gramStart"/>
      <w:r w:rsidRPr="002B5065">
        <w:rPr>
          <w:rFonts w:eastAsia="Times New Roman" w:cs="Times New Roman"/>
          <w:szCs w:val="24"/>
        </w:rPr>
        <w:t>professionals</w:t>
      </w:r>
      <w:proofErr w:type="gramEnd"/>
      <w:r w:rsidRPr="002B5065">
        <w:rPr>
          <w:rFonts w:eastAsia="Times New Roman" w:cs="Times New Roman"/>
          <w:szCs w:val="24"/>
        </w:rPr>
        <w:t xml:space="preserve"> and other interested parties. Proposed changes </w:t>
      </w:r>
      <w:proofErr w:type="gramStart"/>
      <w:r w:rsidRPr="002B5065">
        <w:rPr>
          <w:rFonts w:eastAsia="Times New Roman" w:cs="Times New Roman"/>
          <w:szCs w:val="24"/>
        </w:rPr>
        <w:t>are carefully considered</w:t>
      </w:r>
      <w:proofErr w:type="gramEnd"/>
      <w:r w:rsidRPr="002B5065">
        <w:rPr>
          <w:rFonts w:eastAsia="Times New Roman" w:cs="Times New Roman"/>
          <w:szCs w:val="24"/>
        </w:rPr>
        <w:t xml:space="preserve"> through an open code development process in which all interested and affected parties may participate. </w:t>
      </w:r>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szCs w:val="24"/>
        </w:rPr>
        <w:t xml:space="preserve">The contents of this work are subject to change </w:t>
      </w:r>
      <w:proofErr w:type="gramStart"/>
      <w:r w:rsidRPr="002B5065">
        <w:rPr>
          <w:rFonts w:eastAsia="Times New Roman" w:cs="Times New Roman"/>
          <w:szCs w:val="24"/>
        </w:rPr>
        <w:t>both through the Code Development Cycles and the</w:t>
      </w:r>
      <w:proofErr w:type="gramEnd"/>
      <w:r w:rsidRPr="002B5065">
        <w:rPr>
          <w:rFonts w:eastAsia="Times New Roman" w:cs="Times New Roman"/>
          <w:szCs w:val="24"/>
        </w:rPr>
        <w:t xml:space="preserve"> governmental body that enacts the code into law. For more information regarding the code development process, contact the Codes and Standards Development Department of the International Code Council. </w:t>
      </w:r>
    </w:p>
    <w:p w:rsidR="002B5065" w:rsidRDefault="00442E8E" w:rsidP="00442E8E">
      <w:pPr>
        <w:spacing w:after="240" w:line="240" w:lineRule="auto"/>
        <w:jc w:val="both"/>
        <w:rPr>
          <w:rFonts w:eastAsia="Times New Roman" w:cs="Times New Roman"/>
          <w:szCs w:val="24"/>
        </w:rPr>
      </w:pPr>
      <w:proofErr w:type="gramStart"/>
      <w:r w:rsidRPr="002B5065">
        <w:rPr>
          <w:rFonts w:eastAsia="Times New Roman" w:cs="Times New Roman"/>
          <w:szCs w:val="24"/>
        </w:rPr>
        <w:t xml:space="preserve">While the development procedure of the </w:t>
      </w:r>
      <w:r w:rsidRPr="002B5065">
        <w:rPr>
          <w:rFonts w:eastAsia="Times New Roman" w:cs="Times New Roman"/>
          <w:i/>
          <w:iCs/>
          <w:szCs w:val="24"/>
        </w:rPr>
        <w:t xml:space="preserve">International Plumbing Code </w:t>
      </w:r>
      <w:r w:rsidRPr="002B5065">
        <w:rPr>
          <w:rFonts w:eastAsia="Times New Roman" w:cs="Times New Roman"/>
          <w:szCs w:val="24"/>
        </w:rPr>
        <w:t>ensures the highest degree of care, ICC and ICC’s members and those participating in the development of this code do not accept any liability resulting from compliance or noncompliance with the provisions, since ICC and its members do not have the power or authority to police or enforce compliance with the contents of this code.</w:t>
      </w:r>
      <w:proofErr w:type="gramEnd"/>
      <w:r w:rsidRPr="002B5065">
        <w:rPr>
          <w:rFonts w:eastAsia="Times New Roman" w:cs="Times New Roman"/>
          <w:szCs w:val="24"/>
        </w:rPr>
        <w:t xml:space="preserve"> Only the governmental body that enacts the code into law has such authority. </w:t>
      </w:r>
    </w:p>
    <w:p w:rsidR="002B5065" w:rsidRDefault="00442E8E" w:rsidP="00442E8E">
      <w:pPr>
        <w:spacing w:after="240" w:line="240" w:lineRule="auto"/>
        <w:jc w:val="both"/>
        <w:rPr>
          <w:rFonts w:eastAsia="Times New Roman" w:cs="Times New Roman"/>
          <w:szCs w:val="24"/>
        </w:rPr>
      </w:pPr>
      <w:r w:rsidRPr="002B5065">
        <w:rPr>
          <w:rFonts w:eastAsia="Times New Roman" w:cs="Times New Roman"/>
          <w:b/>
          <w:bCs/>
          <w:szCs w:val="24"/>
        </w:rPr>
        <w:t xml:space="preserve">Code Development Committee Responsibilities (Letter Designations in Front of Section Numbers) </w:t>
      </w:r>
      <w:r w:rsidRPr="002B5065">
        <w:rPr>
          <w:rFonts w:eastAsia="Times New Roman" w:cs="Times New Roman"/>
          <w:szCs w:val="24"/>
        </w:rPr>
        <w:br/>
      </w:r>
      <w:r w:rsidRPr="002B5065">
        <w:rPr>
          <w:rFonts w:eastAsia="Times New Roman" w:cs="Times New Roman"/>
          <w:szCs w:val="24"/>
        </w:rPr>
        <w:br/>
      </w:r>
      <w:proofErr w:type="gramStart"/>
      <w:r w:rsidRPr="002B5065">
        <w:rPr>
          <w:rFonts w:eastAsia="Times New Roman" w:cs="Times New Roman"/>
          <w:szCs w:val="24"/>
        </w:rPr>
        <w:t>In</w:t>
      </w:r>
      <w:proofErr w:type="gramEnd"/>
      <w:r w:rsidRPr="002B5065">
        <w:rPr>
          <w:rFonts w:eastAsia="Times New Roman" w:cs="Times New Roman"/>
          <w:szCs w:val="24"/>
        </w:rPr>
        <w:t xml:space="preserve"> each code development cycle, proposed changes to the code are considered at the Code Development Hearings by the International Plumbing Code Development Committee, whose action constitutes a recommendation to the voting membership for final action on the proposed change. </w:t>
      </w:r>
      <w:proofErr w:type="gramStart"/>
      <w:r w:rsidRPr="002B5065">
        <w:rPr>
          <w:rFonts w:eastAsia="Times New Roman" w:cs="Times New Roman"/>
          <w:szCs w:val="24"/>
        </w:rPr>
        <w:t>Proposed changes to a code section that has a number beginning with a letter in brackets are considered by a different code development committee</w:t>
      </w:r>
      <w:proofErr w:type="gramEnd"/>
      <w:r w:rsidRPr="002B5065">
        <w:rPr>
          <w:rFonts w:eastAsia="Times New Roman" w:cs="Times New Roman"/>
          <w:szCs w:val="24"/>
        </w:rPr>
        <w:t xml:space="preserve">. For example, proposed changes to code sections that have [B] in front of them (e.g. [B] 309.2) are considered </w:t>
      </w:r>
      <w:r w:rsidRPr="002B5065">
        <w:rPr>
          <w:rFonts w:eastAsia="Times New Roman" w:cs="Times New Roman"/>
          <w:szCs w:val="24"/>
        </w:rPr>
        <w:lastRenderedPageBreak/>
        <w:t xml:space="preserve">by the appropriate International Building Code Development Committee (IBC-General) at the code development hearings. </w:t>
      </w:r>
    </w:p>
    <w:p w:rsidR="00442E8E" w:rsidRPr="002B5065" w:rsidRDefault="00442E8E" w:rsidP="00442E8E">
      <w:pPr>
        <w:spacing w:after="240" w:line="240" w:lineRule="auto"/>
        <w:jc w:val="both"/>
        <w:rPr>
          <w:rFonts w:eastAsia="Times New Roman" w:cs="Times New Roman"/>
          <w:szCs w:val="24"/>
        </w:rPr>
      </w:pPr>
      <w:proofErr w:type="gramStart"/>
      <w:r w:rsidRPr="002B5065">
        <w:rPr>
          <w:rFonts w:eastAsia="Times New Roman" w:cs="Times New Roman"/>
          <w:szCs w:val="24"/>
        </w:rPr>
        <w:t>The content of sections in this code that begin with a letter designation is maintained by another code development committee in accordance with the following</w:t>
      </w:r>
      <w:proofErr w:type="gramEnd"/>
      <w:r w:rsidRPr="002B5065">
        <w:rPr>
          <w:rFonts w:eastAsia="Times New Roman" w:cs="Times New Roman"/>
          <w:szCs w:val="24"/>
        </w:rPr>
        <w:t>:</w:t>
      </w:r>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szCs w:val="24"/>
        </w:rPr>
        <w:t xml:space="preserve">[A] = Administrative Code Development Committee; </w:t>
      </w:r>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szCs w:val="24"/>
        </w:rPr>
        <w:t>[B] = International Building Code Development Committee (IBC—Fire Safety, General, Means of Egress or Structural);</w:t>
      </w:r>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szCs w:val="24"/>
        </w:rPr>
        <w:t>[E] = International Energy Conservation Code Development Committee;</w:t>
      </w:r>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szCs w:val="24"/>
        </w:rPr>
        <w:t xml:space="preserve">[F] = International Fire Code Development Committee; and </w:t>
      </w:r>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szCs w:val="24"/>
        </w:rPr>
        <w:t>[M] = International Mechanical Code Development Committee.</w:t>
      </w:r>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szCs w:val="24"/>
        </w:rPr>
        <w:t xml:space="preserve">Note that, for the development of the 2015 edition of the I-Codes, there will be two groups of code development committees and they will meet in separate years. The groupings are as follows: </w:t>
      </w:r>
    </w:p>
    <w:tbl>
      <w:tblPr>
        <w:tblW w:w="34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2876"/>
        <w:gridCol w:w="3530"/>
      </w:tblGrid>
      <w:tr w:rsidR="00442E8E" w:rsidRPr="002B5065" w:rsidTr="00442E8E">
        <w:tc>
          <w:tcPr>
            <w:tcW w:w="2200" w:type="pct"/>
            <w:tcBorders>
              <w:top w:val="single" w:sz="6" w:space="0" w:color="000000"/>
              <w:left w:val="single" w:sz="6" w:space="0" w:color="000000"/>
              <w:bottom w:val="single" w:sz="6" w:space="0" w:color="000000"/>
              <w:right w:val="single" w:sz="6" w:space="0" w:color="000000"/>
            </w:tcBorders>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b/>
                <w:bCs/>
                <w:szCs w:val="24"/>
              </w:rPr>
              <w:t xml:space="preserve">Group A Codes </w:t>
            </w:r>
            <w:r w:rsidRPr="002B5065">
              <w:rPr>
                <w:rFonts w:eastAsia="Times New Roman" w:cs="Times New Roman"/>
                <w:b/>
                <w:bCs/>
                <w:szCs w:val="24"/>
              </w:rPr>
              <w:br/>
              <w:t>(Heard in 2012, Code Change Proposals</w:t>
            </w:r>
            <w:r w:rsidRPr="002B5065">
              <w:rPr>
                <w:rFonts w:eastAsia="Times New Roman" w:cs="Times New Roman"/>
                <w:b/>
                <w:bCs/>
                <w:szCs w:val="24"/>
              </w:rPr>
              <w:br/>
              <w:t xml:space="preserve">Deadline: January 3, 2012) </w:t>
            </w:r>
          </w:p>
        </w:tc>
        <w:tc>
          <w:tcPr>
            <w:tcW w:w="2700" w:type="pct"/>
            <w:tcBorders>
              <w:top w:val="single" w:sz="6" w:space="0" w:color="000000"/>
              <w:left w:val="single" w:sz="6" w:space="0" w:color="000000"/>
              <w:bottom w:val="single" w:sz="6" w:space="0" w:color="000000"/>
              <w:right w:val="single" w:sz="6" w:space="0" w:color="000000"/>
            </w:tcBorders>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b/>
                <w:bCs/>
                <w:szCs w:val="24"/>
              </w:rPr>
              <w:t xml:space="preserve">Group B Codes </w:t>
            </w:r>
            <w:r w:rsidRPr="002B5065">
              <w:rPr>
                <w:rFonts w:eastAsia="Times New Roman" w:cs="Times New Roman"/>
                <w:b/>
                <w:bCs/>
                <w:szCs w:val="24"/>
              </w:rPr>
              <w:br/>
              <w:t xml:space="preserve">(Heard in 2013, Code Change Proposals </w:t>
            </w:r>
            <w:r w:rsidRPr="002B5065">
              <w:rPr>
                <w:rFonts w:eastAsia="Times New Roman" w:cs="Times New Roman"/>
                <w:b/>
                <w:bCs/>
                <w:szCs w:val="24"/>
              </w:rPr>
              <w:br/>
              <w:t xml:space="preserve">Deadline: January 3, 2013) </w:t>
            </w:r>
          </w:p>
        </w:tc>
      </w:tr>
      <w:tr w:rsidR="00442E8E" w:rsidRPr="002B5065" w:rsidTr="00442E8E">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 xml:space="preserve">International Building Code </w:t>
            </w:r>
          </w:p>
        </w:tc>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Administrative Provisions (</w:t>
            </w:r>
            <w:hyperlink r:id="rId4" w:history="1">
              <w:r w:rsidRPr="002B5065">
                <w:rPr>
                  <w:rFonts w:eastAsia="Times New Roman" w:cs="Times New Roman"/>
                  <w:color w:val="0000FF"/>
                  <w:szCs w:val="24"/>
                  <w:u w:val="single"/>
                </w:rPr>
                <w:t>Chapter 1</w:t>
              </w:r>
            </w:hyperlink>
            <w:r w:rsidRPr="002B5065">
              <w:rPr>
                <w:rFonts w:eastAsia="Times New Roman" w:cs="Times New Roman"/>
                <w:szCs w:val="24"/>
              </w:rPr>
              <w:t xml:space="preserve"> all codes except IRC, administrative updates to currently referenced standards, and designated definitions) </w:t>
            </w:r>
          </w:p>
        </w:tc>
      </w:tr>
      <w:tr w:rsidR="00442E8E" w:rsidRPr="002B5065" w:rsidTr="00442E8E">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 xml:space="preserve">International Fuel Gas Code </w:t>
            </w:r>
          </w:p>
        </w:tc>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 xml:space="preserve">International Energy Conservation Code </w:t>
            </w:r>
          </w:p>
        </w:tc>
      </w:tr>
      <w:tr w:rsidR="00442E8E" w:rsidRPr="002B5065" w:rsidTr="00442E8E">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 xml:space="preserve">International Mechanical Code </w:t>
            </w:r>
          </w:p>
        </w:tc>
        <w:tc>
          <w:tcPr>
            <w:tcW w:w="0" w:type="auto"/>
            <w:tcBorders>
              <w:top w:val="nil"/>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 xml:space="preserve">International Existing Building Code </w:t>
            </w:r>
          </w:p>
        </w:tc>
      </w:tr>
      <w:tr w:rsidR="00442E8E" w:rsidRPr="002B5065" w:rsidTr="00442E8E">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 xml:space="preserve">International Plumbing Code </w:t>
            </w:r>
          </w:p>
        </w:tc>
        <w:tc>
          <w:tcPr>
            <w:tcW w:w="0" w:type="auto"/>
            <w:tcBorders>
              <w:top w:val="nil"/>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 xml:space="preserve">International Fire Code </w:t>
            </w:r>
          </w:p>
        </w:tc>
      </w:tr>
      <w:tr w:rsidR="00442E8E" w:rsidRPr="002B5065" w:rsidTr="00442E8E">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 xml:space="preserve">International Private Sewage </w:t>
            </w:r>
            <w:r w:rsidRPr="002B5065">
              <w:rPr>
                <w:rFonts w:eastAsia="Times New Roman" w:cs="Times New Roman"/>
                <w:szCs w:val="24"/>
              </w:rPr>
              <w:br/>
              <w:t xml:space="preserve">Disposal Code </w:t>
            </w:r>
          </w:p>
        </w:tc>
        <w:tc>
          <w:tcPr>
            <w:tcW w:w="0" w:type="auto"/>
            <w:tcBorders>
              <w:top w:val="nil"/>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 xml:space="preserve">International Green Construction Code </w:t>
            </w:r>
          </w:p>
        </w:tc>
      </w:tr>
      <w:tr w:rsidR="00442E8E" w:rsidRPr="002B5065" w:rsidTr="00442E8E">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p>
        </w:tc>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 xml:space="preserve">ICC Performance Code </w:t>
            </w:r>
          </w:p>
        </w:tc>
      </w:tr>
      <w:tr w:rsidR="00442E8E" w:rsidRPr="002B5065" w:rsidTr="00442E8E">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p>
        </w:tc>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 xml:space="preserve">International Property Maintenance Code </w:t>
            </w:r>
          </w:p>
        </w:tc>
      </w:tr>
      <w:tr w:rsidR="00442E8E" w:rsidRPr="002B5065" w:rsidTr="00442E8E">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p>
        </w:tc>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 xml:space="preserve">International Residential Code </w:t>
            </w:r>
          </w:p>
        </w:tc>
      </w:tr>
      <w:tr w:rsidR="00442E8E" w:rsidRPr="002B5065" w:rsidTr="00442E8E">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p>
        </w:tc>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 xml:space="preserve">International Swimming Pool and Spa Code </w:t>
            </w:r>
          </w:p>
        </w:tc>
      </w:tr>
      <w:tr w:rsidR="00442E8E" w:rsidRPr="002B5065" w:rsidTr="00442E8E">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p>
        </w:tc>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 xml:space="preserve">International </w:t>
            </w:r>
            <w:proofErr w:type="spellStart"/>
            <w:r w:rsidRPr="002B5065">
              <w:rPr>
                <w:rFonts w:eastAsia="Times New Roman" w:cs="Times New Roman"/>
                <w:szCs w:val="24"/>
              </w:rPr>
              <w:t>Wildland</w:t>
            </w:r>
            <w:proofErr w:type="spellEnd"/>
            <w:r w:rsidRPr="002B5065">
              <w:rPr>
                <w:rFonts w:eastAsia="Times New Roman" w:cs="Times New Roman"/>
                <w:szCs w:val="24"/>
              </w:rPr>
              <w:t xml:space="preserve">-Urban Interface Code </w:t>
            </w:r>
          </w:p>
        </w:tc>
      </w:tr>
      <w:tr w:rsidR="00442E8E" w:rsidRPr="002B5065" w:rsidTr="00442E8E">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p>
        </w:tc>
        <w:tc>
          <w:tcPr>
            <w:tcW w:w="0" w:type="auto"/>
            <w:tcBorders>
              <w:top w:val="nil"/>
              <w:left w:val="single" w:sz="6" w:space="0" w:color="000000"/>
              <w:bottom w:val="single" w:sz="6" w:space="0" w:color="000000"/>
              <w:right w:val="single" w:sz="6" w:space="0" w:color="000000"/>
            </w:tcBorders>
            <w:hideMark/>
          </w:tcPr>
          <w:p w:rsidR="00442E8E" w:rsidRPr="002B5065" w:rsidRDefault="00442E8E" w:rsidP="00442E8E">
            <w:pPr>
              <w:spacing w:after="0" w:line="240" w:lineRule="auto"/>
              <w:rPr>
                <w:rFonts w:eastAsia="Times New Roman" w:cs="Times New Roman"/>
                <w:szCs w:val="24"/>
              </w:rPr>
            </w:pPr>
            <w:r w:rsidRPr="002B5065">
              <w:rPr>
                <w:rFonts w:eastAsia="Times New Roman" w:cs="Times New Roman"/>
                <w:szCs w:val="24"/>
              </w:rPr>
              <w:t xml:space="preserve">International Zoning Code </w:t>
            </w:r>
          </w:p>
        </w:tc>
      </w:tr>
    </w:tbl>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szCs w:val="24"/>
        </w:rPr>
        <w:br/>
      </w:r>
      <w:r w:rsidRPr="002B5065">
        <w:rPr>
          <w:rFonts w:eastAsia="Times New Roman" w:cs="Times New Roman"/>
          <w:szCs w:val="24"/>
        </w:rPr>
        <w:br/>
      </w:r>
      <w:proofErr w:type="gramStart"/>
      <w:r w:rsidRPr="002B5065">
        <w:rPr>
          <w:rFonts w:eastAsia="Times New Roman" w:cs="Times New Roman"/>
          <w:szCs w:val="24"/>
        </w:rPr>
        <w:t>Code change proposals submitted for code sections that have a letter designation in front of them will be heard by the respective committee responsible for such code sections</w:t>
      </w:r>
      <w:proofErr w:type="gramEnd"/>
      <w:r w:rsidRPr="002B5065">
        <w:rPr>
          <w:rFonts w:eastAsia="Times New Roman" w:cs="Times New Roman"/>
          <w:szCs w:val="24"/>
        </w:rPr>
        <w:t xml:space="preserve">. Because different committees will meet in different years, it is possible that </w:t>
      </w:r>
      <w:proofErr w:type="gramStart"/>
      <w:r w:rsidRPr="002B5065">
        <w:rPr>
          <w:rFonts w:eastAsia="Times New Roman" w:cs="Times New Roman"/>
          <w:szCs w:val="24"/>
        </w:rPr>
        <w:t>some proposals for this code will be heard by a committee</w:t>
      </w:r>
      <w:proofErr w:type="gramEnd"/>
      <w:r w:rsidRPr="002B5065">
        <w:rPr>
          <w:rFonts w:eastAsia="Times New Roman" w:cs="Times New Roman"/>
          <w:szCs w:val="24"/>
        </w:rPr>
        <w:t xml:space="preserve"> in a different year than the year in which the primary committee for this code meets. </w:t>
      </w:r>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szCs w:val="24"/>
        </w:rPr>
        <w:t xml:space="preserve">For example, every section of </w:t>
      </w:r>
      <w:hyperlink r:id="rId5" w:history="1">
        <w:r w:rsidRPr="002B5065">
          <w:rPr>
            <w:rFonts w:eastAsia="Times New Roman" w:cs="Times New Roman"/>
            <w:color w:val="0000FF"/>
            <w:szCs w:val="24"/>
            <w:u w:val="single"/>
          </w:rPr>
          <w:t>Chapter 1 of this code</w:t>
        </w:r>
      </w:hyperlink>
      <w:r w:rsidRPr="002B5065">
        <w:rPr>
          <w:rFonts w:eastAsia="Times New Roman" w:cs="Times New Roman"/>
          <w:szCs w:val="24"/>
        </w:rPr>
        <w:t xml:space="preserve"> </w:t>
      </w:r>
      <w:proofErr w:type="gramStart"/>
      <w:r w:rsidRPr="002B5065">
        <w:rPr>
          <w:rFonts w:eastAsia="Times New Roman" w:cs="Times New Roman"/>
          <w:szCs w:val="24"/>
        </w:rPr>
        <w:t>is designated</w:t>
      </w:r>
      <w:proofErr w:type="gramEnd"/>
      <w:r w:rsidRPr="002B5065">
        <w:rPr>
          <w:rFonts w:eastAsia="Times New Roman" w:cs="Times New Roman"/>
          <w:szCs w:val="24"/>
        </w:rPr>
        <w:t xml:space="preserve"> as the responsibility of the Administrative Code Development Committee, and that committee is part of the Group B portion of the hearings. This committee will conduct its code development hearings in 2013 to consider all code change proposals for </w:t>
      </w:r>
      <w:hyperlink r:id="rId6" w:history="1">
        <w:r w:rsidRPr="002B5065">
          <w:rPr>
            <w:rFonts w:eastAsia="Times New Roman" w:cs="Times New Roman"/>
            <w:color w:val="0000FF"/>
            <w:szCs w:val="24"/>
            <w:u w:val="single"/>
          </w:rPr>
          <w:t xml:space="preserve">Chapter 1 of this code </w:t>
        </w:r>
      </w:hyperlink>
      <w:r w:rsidRPr="002B5065">
        <w:rPr>
          <w:rFonts w:eastAsia="Times New Roman" w:cs="Times New Roman"/>
          <w:szCs w:val="24"/>
        </w:rPr>
        <w:t xml:space="preserve">and proposals for Chapter 1 of all I-Codes except the </w:t>
      </w:r>
      <w:r w:rsidRPr="002B5065">
        <w:rPr>
          <w:rFonts w:eastAsia="Times New Roman" w:cs="Times New Roman"/>
          <w:i/>
          <w:iCs/>
          <w:szCs w:val="24"/>
        </w:rPr>
        <w:t xml:space="preserve">International Residential Code </w:t>
      </w:r>
      <w:r w:rsidRPr="002B5065">
        <w:rPr>
          <w:rFonts w:eastAsia="Times New Roman" w:cs="Times New Roman"/>
          <w:szCs w:val="24"/>
        </w:rPr>
        <w:t xml:space="preserve">and the ICC </w:t>
      </w:r>
      <w:r w:rsidRPr="002B5065">
        <w:rPr>
          <w:rFonts w:eastAsia="Times New Roman" w:cs="Times New Roman"/>
          <w:i/>
          <w:iCs/>
          <w:szCs w:val="24"/>
        </w:rPr>
        <w:t xml:space="preserve">Performance Code. </w:t>
      </w:r>
      <w:r w:rsidRPr="002B5065">
        <w:rPr>
          <w:rFonts w:eastAsia="Times New Roman" w:cs="Times New Roman"/>
          <w:szCs w:val="24"/>
        </w:rPr>
        <w:t xml:space="preserve">Therefore, </w:t>
      </w:r>
      <w:proofErr w:type="gramStart"/>
      <w:r w:rsidRPr="002B5065">
        <w:rPr>
          <w:rFonts w:eastAsia="Times New Roman" w:cs="Times New Roman"/>
          <w:szCs w:val="24"/>
        </w:rPr>
        <w:t xml:space="preserve">any proposals received for </w:t>
      </w:r>
      <w:hyperlink r:id="rId7" w:history="1">
        <w:r w:rsidRPr="002B5065">
          <w:rPr>
            <w:rFonts w:eastAsia="Times New Roman" w:cs="Times New Roman"/>
            <w:color w:val="0000FF"/>
            <w:szCs w:val="24"/>
            <w:u w:val="single"/>
          </w:rPr>
          <w:t>Chapter 1 of this code</w:t>
        </w:r>
      </w:hyperlink>
      <w:r w:rsidRPr="002B5065">
        <w:rPr>
          <w:rFonts w:eastAsia="Times New Roman" w:cs="Times New Roman"/>
          <w:szCs w:val="24"/>
        </w:rPr>
        <w:t xml:space="preserve"> will be deferred for consideration in 2013 by the Administrative Code Development Committee</w:t>
      </w:r>
      <w:proofErr w:type="gramEnd"/>
      <w:r w:rsidRPr="002B5065">
        <w:rPr>
          <w:rFonts w:eastAsia="Times New Roman" w:cs="Times New Roman"/>
          <w:szCs w:val="24"/>
        </w:rPr>
        <w:t xml:space="preserve">. </w:t>
      </w:r>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szCs w:val="24"/>
        </w:rPr>
        <w:t xml:space="preserve">Another example is </w:t>
      </w:r>
      <w:hyperlink r:id="rId8" w:history="1">
        <w:r w:rsidRPr="002B5065">
          <w:rPr>
            <w:rFonts w:eastAsia="Times New Roman" w:cs="Times New Roman"/>
            <w:color w:val="0000FF"/>
            <w:szCs w:val="24"/>
            <w:u w:val="single"/>
          </w:rPr>
          <w:t>Section 607.5</w:t>
        </w:r>
      </w:hyperlink>
      <w:r w:rsidRPr="002B5065">
        <w:rPr>
          <w:rFonts w:eastAsia="Times New Roman" w:cs="Times New Roman"/>
          <w:szCs w:val="24"/>
        </w:rPr>
        <w:t xml:space="preserve"> of this </w:t>
      </w:r>
      <w:proofErr w:type="gramStart"/>
      <w:r w:rsidRPr="002B5065">
        <w:rPr>
          <w:rFonts w:eastAsia="Times New Roman" w:cs="Times New Roman"/>
          <w:szCs w:val="24"/>
        </w:rPr>
        <w:t>code which</w:t>
      </w:r>
      <w:proofErr w:type="gramEnd"/>
      <w:r w:rsidRPr="002B5065">
        <w:rPr>
          <w:rFonts w:eastAsia="Times New Roman" w:cs="Times New Roman"/>
          <w:szCs w:val="24"/>
        </w:rPr>
        <w:t xml:space="preserve"> is designated as the responsibility of the International Energy Conservation Code Development Committee. This committee will conduct its code development hearings in 2013 to consider code change proposals in its purview, which includes any proposals to </w:t>
      </w:r>
      <w:hyperlink r:id="rId9" w:history="1">
        <w:r w:rsidRPr="002B5065">
          <w:rPr>
            <w:rFonts w:eastAsia="Times New Roman" w:cs="Times New Roman"/>
            <w:color w:val="0000FF"/>
            <w:szCs w:val="24"/>
            <w:u w:val="single"/>
          </w:rPr>
          <w:t xml:space="preserve">Section 607.5. </w:t>
        </w:r>
      </w:hyperlink>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szCs w:val="24"/>
        </w:rPr>
        <w:t xml:space="preserve">In some cases, another committee in Group A will be responsible for a section of this code. For example, Section 314.2 has a [M] in front of the numbered section, indicating that this section of the code is the responsibility of the International Mechanical Code Development Committee. The International Mechanical Code is in Group A; therefore, any code change proposals to this section will be due before the Group </w:t>
      </w:r>
      <w:proofErr w:type="gramStart"/>
      <w:r w:rsidRPr="002B5065">
        <w:rPr>
          <w:rFonts w:eastAsia="Times New Roman" w:cs="Times New Roman"/>
          <w:szCs w:val="24"/>
        </w:rPr>
        <w:t>A</w:t>
      </w:r>
      <w:proofErr w:type="gramEnd"/>
      <w:r w:rsidRPr="002B5065">
        <w:rPr>
          <w:rFonts w:eastAsia="Times New Roman" w:cs="Times New Roman"/>
          <w:szCs w:val="24"/>
        </w:rPr>
        <w:t xml:space="preserve"> deadline of January 3, 2012, and these code change proposals will be assigned to the International Mechanical Code Development Committee for consideration. </w:t>
      </w:r>
      <w:r w:rsidRPr="002B5065">
        <w:rPr>
          <w:rFonts w:eastAsia="Times New Roman" w:cs="Times New Roman"/>
          <w:szCs w:val="24"/>
        </w:rPr>
        <w:br/>
      </w:r>
      <w:r w:rsidRPr="002B5065">
        <w:rPr>
          <w:rFonts w:eastAsia="Times New Roman" w:cs="Times New Roman"/>
          <w:szCs w:val="24"/>
        </w:rPr>
        <w:br/>
        <w:t xml:space="preserve">It is very important that anyone submitting code change proposals understand which code development committee is responsible for the section of the code that is the subject of the code change proposal. For further information on the code development committee responsibilities, please visit the ICC web site at </w:t>
      </w:r>
      <w:proofErr w:type="spellStart"/>
      <w:r w:rsidRPr="002B5065">
        <w:rPr>
          <w:rFonts w:eastAsia="Times New Roman" w:cs="Times New Roman"/>
          <w:szCs w:val="24"/>
        </w:rPr>
        <w:t>www.iccsafe.org/scoping</w:t>
      </w:r>
      <w:proofErr w:type="spellEnd"/>
      <w:r w:rsidRPr="002B5065">
        <w:rPr>
          <w:rFonts w:eastAsia="Times New Roman" w:cs="Times New Roman"/>
          <w:szCs w:val="24"/>
        </w:rPr>
        <w:t xml:space="preserve">. </w:t>
      </w:r>
    </w:p>
    <w:p w:rsidR="00442E8E" w:rsidRPr="002B5065" w:rsidRDefault="00442E8E" w:rsidP="00442E8E">
      <w:pPr>
        <w:spacing w:after="240" w:line="240" w:lineRule="auto"/>
        <w:jc w:val="both"/>
        <w:rPr>
          <w:rFonts w:eastAsia="Times New Roman" w:cs="Times New Roman"/>
          <w:b/>
          <w:bCs/>
          <w:szCs w:val="24"/>
        </w:rPr>
      </w:pPr>
      <w:r w:rsidRPr="002B5065">
        <w:rPr>
          <w:rFonts w:eastAsia="Times New Roman" w:cs="Times New Roman"/>
          <w:b/>
          <w:bCs/>
          <w:szCs w:val="24"/>
        </w:rPr>
        <w:br/>
        <w:t xml:space="preserve">Marginal Markings </w:t>
      </w:r>
    </w:p>
    <w:p w:rsidR="00442E8E" w:rsidRPr="002B5065" w:rsidRDefault="00442E8E" w:rsidP="00442E8E">
      <w:pPr>
        <w:spacing w:after="240" w:line="240" w:lineRule="auto"/>
        <w:jc w:val="both"/>
        <w:rPr>
          <w:rFonts w:eastAsia="Times New Roman" w:cs="Times New Roman"/>
          <w:szCs w:val="24"/>
        </w:rPr>
      </w:pPr>
      <w:r w:rsidRPr="002B5065">
        <w:rPr>
          <w:rFonts w:eastAsia="Times New Roman" w:cs="Times New Roman"/>
          <w:szCs w:val="24"/>
        </w:rPr>
        <w:t>Solid vertical lines in the margins within the body of the code indicate a technical change from the requirements of the 2009 edition. Deletion indicators in the form of an arrow (</w:t>
      </w:r>
      <w:r w:rsidRPr="002B5065">
        <w:rPr>
          <w:rFonts w:eastAsia="Times New Roman" w:cs="Times New Roman"/>
          <w:szCs w:val="24"/>
        </w:rPr>
        <w:br/>
      </w:r>
      <w:r w:rsidRPr="002B5065">
        <w:rPr>
          <w:rFonts w:eastAsia="Times New Roman" w:cs="Times New Roman"/>
          <w:noProof/>
          <w:szCs w:val="24"/>
        </w:rPr>
        <w:drawing>
          <wp:inline distT="0" distB="0" distL="0" distR="0">
            <wp:extent cx="180975" cy="123825"/>
            <wp:effectExtent l="19050" t="0" r="9525" b="0"/>
            <wp:docPr id="1" name="Picture 1" descr="http://publicecodes.cyberregs.com/icod/ipc/2012/images/ICODA2011071311554179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ecodes.cyberregs.com/icod/ipc/2012/images/ICODA2011071311554179866.jpg"/>
                    <pic:cNvPicPr>
                      <a:picLocks noChangeAspect="1" noChangeArrowheads="1"/>
                    </pic:cNvPicPr>
                  </pic:nvPicPr>
                  <pic:blipFill>
                    <a:blip r:embed="rId10"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r w:rsidRPr="002B5065">
        <w:rPr>
          <w:rFonts w:eastAsia="Times New Roman" w:cs="Times New Roman"/>
          <w:szCs w:val="24"/>
        </w:rPr>
        <w:t xml:space="preserve">) are provided in the margin where an entire section, paragraph, exception or table has been deleted or an item in a list of items or a table has been deleted. </w:t>
      </w:r>
    </w:p>
    <w:p w:rsidR="00442E8E" w:rsidRPr="002B5065" w:rsidRDefault="00442E8E" w:rsidP="00442E8E">
      <w:pPr>
        <w:spacing w:after="240" w:line="240" w:lineRule="auto"/>
        <w:jc w:val="both"/>
        <w:rPr>
          <w:rFonts w:eastAsia="Times New Roman" w:cs="Times New Roman"/>
          <w:szCs w:val="24"/>
        </w:rPr>
      </w:pPr>
    </w:p>
    <w:p w:rsidR="00442E8E" w:rsidRPr="002B5065" w:rsidRDefault="00442E8E" w:rsidP="00442E8E">
      <w:pPr>
        <w:spacing w:after="240" w:line="240" w:lineRule="auto"/>
        <w:jc w:val="both"/>
        <w:rPr>
          <w:rFonts w:eastAsia="Times New Roman" w:cs="Times New Roman"/>
          <w:i/>
          <w:iCs/>
          <w:szCs w:val="24"/>
        </w:rPr>
      </w:pPr>
      <w:r w:rsidRPr="002B5065">
        <w:rPr>
          <w:rFonts w:eastAsia="Times New Roman" w:cs="Times New Roman"/>
          <w:szCs w:val="24"/>
        </w:rPr>
        <w:t xml:space="preserve">A single asterisk [*] placed in the margin indicates that text or a table has been relocated within the code. A double asterisk [**] placed in the margin indicates that the text or table immediately following it has been relocated there from elsewhere in the code. The following table indicates such relocations in the 2012 </w:t>
      </w:r>
      <w:r w:rsidRPr="002B5065">
        <w:rPr>
          <w:rFonts w:eastAsia="Times New Roman" w:cs="Times New Roman"/>
          <w:i/>
          <w:iCs/>
          <w:szCs w:val="24"/>
        </w:rPr>
        <w:t xml:space="preserve">International Plumbing Code. </w:t>
      </w:r>
    </w:p>
    <w:p w:rsidR="00442E8E" w:rsidRPr="002B5065" w:rsidRDefault="00442E8E" w:rsidP="00442E8E">
      <w:pPr>
        <w:pStyle w:val="NoSpacing"/>
      </w:pPr>
    </w:p>
    <w:p w:rsidR="00442E8E" w:rsidRPr="002B5065" w:rsidRDefault="00442E8E" w:rsidP="00442E8E">
      <w:pPr>
        <w:pStyle w:val="NoSpacing"/>
      </w:pPr>
    </w:p>
    <w:tbl>
      <w:tblPr>
        <w:tblW w:w="195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1911"/>
        <w:gridCol w:w="1763"/>
      </w:tblGrid>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b/>
                <w:bCs/>
                <w:szCs w:val="24"/>
              </w:rPr>
              <w:t xml:space="preserve">2012 LOCATION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b/>
                <w:bCs/>
                <w:szCs w:val="24"/>
              </w:rPr>
              <w:t xml:space="preserve">2009 LOCATION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316.1 through 316.1.6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105.4 through 105.4.6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315.1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305.4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405.3.3, 405.3.4, 405.3.5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310.2, 310.4, 310.5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903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904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906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907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908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909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910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911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912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913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914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915 </w:t>
            </w:r>
          </w:p>
        </w:tc>
      </w:tr>
      <w:tr w:rsidR="00442E8E" w:rsidRPr="002B5065" w:rsidTr="00442E8E">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2E8E" w:rsidRPr="002B5065" w:rsidRDefault="00442E8E" w:rsidP="00442E8E">
            <w:pPr>
              <w:spacing w:after="0" w:line="240" w:lineRule="auto"/>
              <w:jc w:val="center"/>
              <w:rPr>
                <w:rFonts w:eastAsia="Times New Roman" w:cs="Times New Roman"/>
                <w:szCs w:val="24"/>
              </w:rPr>
            </w:pPr>
            <w:r w:rsidRPr="002B5065">
              <w:rPr>
                <w:rFonts w:eastAsia="Times New Roman" w:cs="Times New Roman"/>
                <w:szCs w:val="24"/>
              </w:rPr>
              <w:t xml:space="preserve">916 </w:t>
            </w:r>
          </w:p>
        </w:tc>
      </w:tr>
    </w:tbl>
    <w:p w:rsidR="00442E8E" w:rsidRPr="002B5065" w:rsidRDefault="00442E8E" w:rsidP="00442E8E">
      <w:pPr>
        <w:jc w:val="both"/>
        <w:rPr>
          <w:rFonts w:eastAsia="Times New Roman" w:cs="Times New Roman"/>
          <w:b/>
          <w:bCs/>
          <w:szCs w:val="24"/>
        </w:rPr>
      </w:pPr>
      <w:r w:rsidRPr="002B5065">
        <w:rPr>
          <w:rFonts w:eastAsia="Times New Roman" w:cs="Times New Roman"/>
          <w:b/>
          <w:bCs/>
          <w:szCs w:val="24"/>
        </w:rPr>
        <w:br/>
        <w:t xml:space="preserve">Italicized Terms </w:t>
      </w:r>
    </w:p>
    <w:p w:rsidR="00993EFB" w:rsidRPr="002B5065" w:rsidRDefault="00442E8E" w:rsidP="00442E8E">
      <w:pPr>
        <w:jc w:val="both"/>
      </w:pPr>
      <w:r w:rsidRPr="002B5065">
        <w:rPr>
          <w:rFonts w:eastAsia="Times New Roman" w:cs="Times New Roman"/>
          <w:szCs w:val="24"/>
        </w:rPr>
        <w:t xml:space="preserve">Selected terms set forth in </w:t>
      </w:r>
      <w:hyperlink r:id="rId11" w:history="1">
        <w:r w:rsidRPr="002B5065">
          <w:rPr>
            <w:rFonts w:eastAsia="Times New Roman" w:cs="Times New Roman"/>
            <w:color w:val="0000FF"/>
            <w:szCs w:val="24"/>
            <w:u w:val="single"/>
          </w:rPr>
          <w:t>Chapter 2</w:t>
        </w:r>
      </w:hyperlink>
      <w:r w:rsidRPr="002B5065">
        <w:rPr>
          <w:rFonts w:eastAsia="Times New Roman" w:cs="Times New Roman"/>
          <w:szCs w:val="24"/>
        </w:rPr>
        <w:t xml:space="preserve">, Definitions, </w:t>
      </w:r>
      <w:proofErr w:type="gramStart"/>
      <w:r w:rsidRPr="002B5065">
        <w:rPr>
          <w:rFonts w:eastAsia="Times New Roman" w:cs="Times New Roman"/>
          <w:szCs w:val="24"/>
        </w:rPr>
        <w:t>are italicized</w:t>
      </w:r>
      <w:proofErr w:type="gramEnd"/>
      <w:r w:rsidRPr="002B5065">
        <w:rPr>
          <w:rFonts w:eastAsia="Times New Roman" w:cs="Times New Roman"/>
          <w:szCs w:val="24"/>
        </w:rPr>
        <w:t xml:space="preserve"> where they appear in code text. Such terms </w:t>
      </w:r>
      <w:proofErr w:type="gramStart"/>
      <w:r w:rsidRPr="002B5065">
        <w:rPr>
          <w:rFonts w:eastAsia="Times New Roman" w:cs="Times New Roman"/>
          <w:szCs w:val="24"/>
        </w:rPr>
        <w:t>are not italicized</w:t>
      </w:r>
      <w:proofErr w:type="gramEnd"/>
      <w:r w:rsidRPr="002B5065">
        <w:rPr>
          <w:rFonts w:eastAsia="Times New Roman" w:cs="Times New Roman"/>
          <w:szCs w:val="24"/>
        </w:rPr>
        <w:t xml:space="preserve"> where the definition set forth in </w:t>
      </w:r>
      <w:hyperlink r:id="rId12" w:history="1">
        <w:r w:rsidRPr="002B5065">
          <w:rPr>
            <w:rFonts w:eastAsia="Times New Roman" w:cs="Times New Roman"/>
            <w:color w:val="0000FF"/>
            <w:szCs w:val="24"/>
            <w:u w:val="single"/>
          </w:rPr>
          <w:t>Chapter 2</w:t>
        </w:r>
      </w:hyperlink>
      <w:r w:rsidRPr="002B5065">
        <w:rPr>
          <w:rFonts w:eastAsia="Times New Roman" w:cs="Times New Roman"/>
          <w:szCs w:val="24"/>
        </w:rPr>
        <w:t xml:space="preserve"> does not impart the intended meaning in the use of the term. The terms selected have </w:t>
      </w:r>
      <w:proofErr w:type="gramStart"/>
      <w:r w:rsidRPr="002B5065">
        <w:rPr>
          <w:rFonts w:eastAsia="Times New Roman" w:cs="Times New Roman"/>
          <w:szCs w:val="24"/>
        </w:rPr>
        <w:t>definitions which</w:t>
      </w:r>
      <w:proofErr w:type="gramEnd"/>
      <w:r w:rsidRPr="002B5065">
        <w:rPr>
          <w:rFonts w:eastAsia="Times New Roman" w:cs="Times New Roman"/>
          <w:szCs w:val="24"/>
        </w:rPr>
        <w:t xml:space="preserve"> the user should read carefully to facilitate better understanding of the code.  </w:t>
      </w:r>
    </w:p>
    <w:sectPr w:rsidR="00993EFB" w:rsidRPr="002B5065"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E8E"/>
    <w:rsid w:val="00156F65"/>
    <w:rsid w:val="002B5065"/>
    <w:rsid w:val="00352E0B"/>
    <w:rsid w:val="00385C32"/>
    <w:rsid w:val="00442E8E"/>
    <w:rsid w:val="00590E3D"/>
    <w:rsid w:val="007406B5"/>
    <w:rsid w:val="00A44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442E8E"/>
    <w:rPr>
      <w:color w:val="0000FF"/>
      <w:u w:val="single"/>
    </w:rPr>
  </w:style>
  <w:style w:type="paragraph" w:styleId="BalloonText">
    <w:name w:val="Balloon Text"/>
    <w:basedOn w:val="Normal"/>
    <w:link w:val="BalloonTextChar"/>
    <w:uiPriority w:val="99"/>
    <w:semiHidden/>
    <w:unhideWhenUsed/>
    <w:rsid w:val="00442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E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5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Next('./icod_ipc_2012_6_par129.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Next('./icod_ipc_2012_1_par001.htm');" TargetMode="External"/><Relationship Id="rId12" Type="http://schemas.openxmlformats.org/officeDocument/2006/relationships/hyperlink" Target="javascript:Next('./icod_ipc_2012_2_par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ext('./icod_ipc_2012_1_par001.htm');" TargetMode="External"/><Relationship Id="rId11" Type="http://schemas.openxmlformats.org/officeDocument/2006/relationships/hyperlink" Target="javascript:Next('./icod_ipc_2012_2_par001.htm');" TargetMode="External"/><Relationship Id="rId5" Type="http://schemas.openxmlformats.org/officeDocument/2006/relationships/hyperlink" Target="javascript:Next('./icod_ipc_2012_1_par001.htm');" TargetMode="External"/><Relationship Id="rId10" Type="http://schemas.openxmlformats.org/officeDocument/2006/relationships/image" Target="media/image1.jpeg"/><Relationship Id="rId4" Type="http://schemas.openxmlformats.org/officeDocument/2006/relationships/hyperlink" Target="javascript:Next('./icod_ipc_2012_1_par001.htm');" TargetMode="External"/><Relationship Id="rId9" Type="http://schemas.openxmlformats.org/officeDocument/2006/relationships/hyperlink" Target="javascript:Next('./icod_ipc_2012_6_par12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2</cp:revision>
  <dcterms:created xsi:type="dcterms:W3CDTF">2016-03-20T21:08:00Z</dcterms:created>
  <dcterms:modified xsi:type="dcterms:W3CDTF">2016-03-21T17:18:00Z</dcterms:modified>
</cp:coreProperties>
</file>