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DF7FC4">
      <w:r>
        <w:rPr>
          <w:b/>
          <w:bCs/>
        </w:rPr>
        <w:t xml:space="preserve">SECTION 402 FIXTURE MATERIALS </w:t>
      </w:r>
      <w:r>
        <w:rPr>
          <w:b/>
          <w:bCs/>
        </w:rPr>
        <w:br/>
      </w:r>
      <w:r>
        <w:rPr>
          <w:b/>
          <w:bCs/>
        </w:rPr>
        <w:br/>
        <w:t xml:space="preserve">402.1 Quality of fixtures. </w:t>
      </w:r>
      <w:r>
        <w:br/>
        <w:t xml:space="preserve">Plumbing fixtures </w:t>
      </w:r>
      <w:proofErr w:type="gramStart"/>
      <w:r>
        <w:t>shall be constructed</w:t>
      </w:r>
      <w:proofErr w:type="gramEnd"/>
      <w:r>
        <w:t xml:space="preserve"> of </w:t>
      </w:r>
      <w:r>
        <w:rPr>
          <w:i/>
          <w:iCs/>
        </w:rPr>
        <w:t xml:space="preserve">approved </w:t>
      </w:r>
      <w:r>
        <w:t xml:space="preserve">materials, with smooth, impervious surfaces, free from defects and concealed fouling surfaces, and shall conform to standards cited in this code. All </w:t>
      </w:r>
      <w:proofErr w:type="gramStart"/>
      <w:r>
        <w:t>porcelain enameled</w:t>
      </w:r>
      <w:proofErr w:type="gramEnd"/>
      <w:r>
        <w:t xml:space="preserve"> surfaces on plumbing fixtures shall be acid resistant.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402.2 Materials for specialty fixtures.</w:t>
      </w:r>
      <w:proofErr w:type="gramEnd"/>
      <w:r>
        <w:rPr>
          <w:b/>
          <w:bCs/>
        </w:rPr>
        <w:t xml:space="preserve"> </w:t>
      </w:r>
      <w:r>
        <w:br/>
        <w:t xml:space="preserve">Materials for specialty fixtures not otherwise covered in this code shall be of stainless steel, soapstone, chemical </w:t>
      </w:r>
      <w:proofErr w:type="gramStart"/>
      <w:r>
        <w:t>stoneware</w:t>
      </w:r>
      <w:proofErr w:type="gramEnd"/>
      <w:r>
        <w:t xml:space="preserve"> or plastic, or shall be lined with lead, copper-base alloy, nickel-copper alloy, corrosion-resistant steel or other material especially suited to the application for which the fixture is intended.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402.3 Sheet copper.</w:t>
      </w:r>
      <w:proofErr w:type="gramEnd"/>
      <w:r>
        <w:rPr>
          <w:b/>
          <w:bCs/>
        </w:rPr>
        <w:t xml:space="preserve"> </w:t>
      </w:r>
      <w:r>
        <w:br/>
        <w:t>Sheet copper for general applications shall conform to ASTM B 152 and shall not weigh less than 12 ounces per square foot (3.7 kg/</w:t>
      </w:r>
      <w:proofErr w:type="spellStart"/>
      <w:r>
        <w:t>m</w:t>
      </w:r>
      <w:r>
        <w:rPr>
          <w:vertAlign w:val="superscript"/>
        </w:rPr>
        <w:t>2</w:t>
      </w:r>
      <w:proofErr w:type="spellEnd"/>
      <w:r>
        <w:t xml:space="preserve">).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402.4 Sheet lead.</w:t>
      </w:r>
      <w:proofErr w:type="gramEnd"/>
      <w:r>
        <w:rPr>
          <w:b/>
          <w:bCs/>
        </w:rPr>
        <w:t xml:space="preserve"> </w:t>
      </w:r>
      <w:r>
        <w:br/>
        <w:t>Sheet lead for pans shall not weigh less than 4 pounds per square foot (19.5 kg/</w:t>
      </w:r>
      <w:proofErr w:type="spellStart"/>
      <w:r>
        <w:t>m</w:t>
      </w:r>
      <w:r>
        <w:rPr>
          <w:vertAlign w:val="superscript"/>
        </w:rPr>
        <w:t>2</w:t>
      </w:r>
      <w:proofErr w:type="spellEnd"/>
      <w:r>
        <w:t xml:space="preserve">) coated with an asphalt paint or other </w:t>
      </w:r>
      <w:r>
        <w:rPr>
          <w:i/>
          <w:iCs/>
        </w:rPr>
        <w:t xml:space="preserve">approved </w:t>
      </w:r>
      <w:r>
        <w:t>coating.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FC4"/>
    <w:rsid w:val="00156F65"/>
    <w:rsid w:val="00352E0B"/>
    <w:rsid w:val="00385C32"/>
    <w:rsid w:val="00590E3D"/>
    <w:rsid w:val="00C45687"/>
    <w:rsid w:val="00D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2016-03-21T16:31:00Z</dcterms:created>
  <dcterms:modified xsi:type="dcterms:W3CDTF">2016-03-21T16:32:00Z</dcterms:modified>
</cp:coreProperties>
</file>